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rPr>
          <w:rFonts w:ascii="Times New Roman" w:hAnsi="Times New Roman" w:eastAsia="黑体"/>
          <w:color w:val="000000"/>
          <w:kern w:val="0"/>
          <w:sz w:val="32"/>
          <w:szCs w:val="32"/>
          <w:highlight w:val="white"/>
          <w:lang w:val="zh-CN"/>
        </w:rPr>
      </w:pPr>
      <w:r>
        <w:rPr>
          <w:rFonts w:ascii="Times New Roman" w:hAnsi="Times New Roman" w:eastAsia="黑体"/>
          <w:color w:val="000000"/>
          <w:kern w:val="0"/>
          <w:sz w:val="32"/>
          <w:szCs w:val="32"/>
          <w:highlight w:val="white"/>
          <w:lang w:val="zh-CN"/>
        </w:rPr>
        <w:t>附件2</w:t>
      </w:r>
    </w:p>
    <w:p>
      <w:pPr>
        <w:widowControl/>
        <w:spacing w:line="579" w:lineRule="exact"/>
        <w:jc w:val="center"/>
        <w:rPr>
          <w:rFonts w:ascii="Times New Roman" w:hAnsi="Times New Roman" w:eastAsia="方正小标宋简体"/>
          <w:color w:val="000000"/>
          <w:kern w:val="0"/>
          <w:sz w:val="44"/>
          <w:szCs w:val="44"/>
          <w:highlight w:val="white"/>
          <w:lang w:val="zh-CN"/>
        </w:rPr>
      </w:pPr>
    </w:p>
    <w:p>
      <w:pPr>
        <w:widowControl/>
        <w:spacing w:line="579" w:lineRule="exact"/>
        <w:jc w:val="center"/>
        <w:rPr>
          <w:rFonts w:ascii="Times New Roman" w:hAnsi="Times New Roman" w:eastAsia="方正小标宋简体"/>
          <w:color w:val="000000"/>
          <w:kern w:val="0"/>
          <w:sz w:val="44"/>
          <w:szCs w:val="44"/>
          <w:lang w:val="zh-CN"/>
        </w:rPr>
      </w:pPr>
      <w:r>
        <w:rPr>
          <w:rFonts w:ascii="Times New Roman" w:hAnsi="Times New Roman" w:eastAsia="方正小标宋简体"/>
          <w:color w:val="000000"/>
          <w:kern w:val="0"/>
          <w:sz w:val="44"/>
          <w:szCs w:val="44"/>
          <w:highlight w:val="white"/>
          <w:lang w:val="zh-CN"/>
        </w:rPr>
        <w:t>陕西省</w:t>
      </w:r>
      <w:r>
        <w:rPr>
          <w:rFonts w:ascii="Times New Roman" w:hAnsi="Times New Roman" w:eastAsia="方正小标宋简体"/>
          <w:color w:val="000000"/>
          <w:kern w:val="0"/>
          <w:sz w:val="44"/>
          <w:szCs w:val="44"/>
          <w:lang w:val="zh-CN"/>
        </w:rPr>
        <w:t>示范老干部活动</w:t>
      </w:r>
    </w:p>
    <w:p>
      <w:pPr>
        <w:widowControl/>
        <w:spacing w:line="579" w:lineRule="exact"/>
        <w:jc w:val="center"/>
        <w:rPr>
          <w:rFonts w:ascii="Times New Roman" w:hAnsi="Times New Roman" w:eastAsia="仿宋_GB2312"/>
          <w:kern w:val="0"/>
          <w:sz w:val="32"/>
          <w:szCs w:val="32"/>
        </w:rPr>
      </w:pPr>
      <w:r>
        <w:rPr>
          <w:rFonts w:ascii="Times New Roman" w:hAnsi="Times New Roman" w:eastAsia="方正小标宋简体"/>
          <w:color w:val="000000"/>
          <w:kern w:val="0"/>
          <w:sz w:val="44"/>
          <w:szCs w:val="44"/>
          <w:lang w:val="zh-CN"/>
        </w:rPr>
        <w:t>中心（室）创建标准</w:t>
      </w:r>
    </w:p>
    <w:p>
      <w:pPr>
        <w:autoSpaceDE w:val="0"/>
        <w:autoSpaceDN w:val="0"/>
        <w:adjustRightInd w:val="0"/>
        <w:spacing w:line="579" w:lineRule="exact"/>
        <w:ind w:firstLine="640" w:firstLineChars="200"/>
        <w:rPr>
          <w:rFonts w:ascii="Times New Roman" w:hAnsi="Times New Roman" w:eastAsia="仿宋_GB2312"/>
          <w:kern w:val="0"/>
          <w:sz w:val="32"/>
          <w:szCs w:val="32"/>
        </w:rPr>
      </w:pP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lang w:val="zh-CN"/>
        </w:rPr>
        <w:t>为推动全省示范</w:t>
      </w:r>
      <w:r>
        <w:rPr>
          <w:rFonts w:ascii="Times New Roman" w:hAnsi="Times New Roman" w:eastAsia="仿宋_GB2312"/>
          <w:kern w:val="0"/>
          <w:sz w:val="32"/>
          <w:szCs w:val="32"/>
        </w:rPr>
        <w:t>老干部活动中心（室）的创建和推广工作</w:t>
      </w:r>
      <w:r>
        <w:rPr>
          <w:rFonts w:ascii="Times New Roman" w:hAnsi="Times New Roman" w:eastAsia="仿宋_GB2312"/>
          <w:kern w:val="0"/>
          <w:sz w:val="32"/>
          <w:szCs w:val="32"/>
          <w:lang w:val="zh-CN"/>
        </w:rPr>
        <w:t>，选树一批</w:t>
      </w:r>
      <w:r>
        <w:rPr>
          <w:rFonts w:ascii="Times New Roman" w:hAnsi="Times New Roman" w:eastAsia="仿宋_GB2312"/>
          <w:kern w:val="0"/>
          <w:sz w:val="32"/>
          <w:szCs w:val="32"/>
        </w:rPr>
        <w:t>组织保障</w:t>
      </w:r>
      <w:r>
        <w:rPr>
          <w:rFonts w:ascii="Times New Roman" w:hAnsi="Times New Roman" w:eastAsia="仿宋_GB2312"/>
          <w:kern w:val="0"/>
          <w:sz w:val="32"/>
          <w:szCs w:val="32"/>
          <w:lang w:val="zh-CN"/>
        </w:rPr>
        <w:t>好、管理规范、</w:t>
      </w:r>
      <w:r>
        <w:rPr>
          <w:rFonts w:ascii="Times New Roman" w:hAnsi="Times New Roman" w:eastAsia="仿宋_GB2312"/>
          <w:kern w:val="0"/>
          <w:sz w:val="32"/>
          <w:szCs w:val="32"/>
        </w:rPr>
        <w:t>活动</w:t>
      </w:r>
      <w:r>
        <w:rPr>
          <w:rFonts w:ascii="Times New Roman" w:hAnsi="Times New Roman" w:eastAsia="仿宋_GB2312"/>
          <w:kern w:val="0"/>
          <w:sz w:val="32"/>
          <w:szCs w:val="32"/>
          <w:lang w:val="zh-CN"/>
        </w:rPr>
        <w:t>质量高、社会影响力</w:t>
      </w:r>
      <w:r>
        <w:rPr>
          <w:rFonts w:ascii="Times New Roman" w:hAnsi="Times New Roman" w:eastAsia="仿宋_GB2312"/>
          <w:kern w:val="0"/>
          <w:sz w:val="32"/>
          <w:szCs w:val="32"/>
        </w:rPr>
        <w:t>大</w:t>
      </w:r>
      <w:r>
        <w:rPr>
          <w:rFonts w:ascii="Times New Roman" w:hAnsi="Times New Roman" w:eastAsia="仿宋_GB2312"/>
          <w:kern w:val="0"/>
          <w:sz w:val="32"/>
          <w:szCs w:val="32"/>
          <w:lang w:val="zh-CN"/>
        </w:rPr>
        <w:t>的</w:t>
      </w:r>
      <w:r>
        <w:rPr>
          <w:rFonts w:ascii="Times New Roman" w:hAnsi="Times New Roman" w:eastAsia="仿宋_GB2312"/>
          <w:kern w:val="0"/>
          <w:sz w:val="32"/>
          <w:szCs w:val="32"/>
        </w:rPr>
        <w:t>先进活动中心（室）</w:t>
      </w:r>
      <w:r>
        <w:rPr>
          <w:rFonts w:ascii="Times New Roman" w:hAnsi="Times New Roman" w:eastAsia="仿宋_GB2312"/>
          <w:kern w:val="0"/>
          <w:sz w:val="32"/>
          <w:szCs w:val="32"/>
          <w:lang w:val="zh-CN"/>
        </w:rPr>
        <w:t>，</w:t>
      </w:r>
      <w:r>
        <w:rPr>
          <w:rFonts w:ascii="Times New Roman" w:hAnsi="Times New Roman" w:eastAsia="仿宋_GB2312"/>
          <w:kern w:val="0"/>
          <w:sz w:val="32"/>
          <w:szCs w:val="32"/>
        </w:rPr>
        <w:t>发挥示范引领作用，提高离退休干部活动工作规范化水平，结合实际，制定本标准。</w:t>
      </w:r>
    </w:p>
    <w:p>
      <w:pPr>
        <w:autoSpaceDE w:val="0"/>
        <w:autoSpaceDN w:val="0"/>
        <w:adjustRightInd w:val="0"/>
        <w:spacing w:line="579" w:lineRule="exact"/>
        <w:ind w:firstLine="800" w:firstLineChars="250"/>
        <w:rPr>
          <w:rFonts w:ascii="Times New Roman" w:hAnsi="Times New Roman" w:eastAsia="黑体"/>
          <w:kern w:val="0"/>
          <w:sz w:val="36"/>
          <w:szCs w:val="36"/>
        </w:rPr>
      </w:pPr>
      <w:r>
        <w:rPr>
          <w:rFonts w:ascii="Times New Roman" w:hAnsi="Times New Roman" w:eastAsia="黑体"/>
          <w:kern w:val="0"/>
          <w:sz w:val="32"/>
          <w:szCs w:val="32"/>
        </w:rPr>
        <w:t>一、示范老干部活动中心创建标准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（一）组织保障（15分）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1.老干部活动中心建设列入当地经济社会发展规划和公益事业建设项目计划。（2分）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2.有正式建制的工作机构，规格编制明确，工作活动经费列入财政预算且能保证工作需要。（3分）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3.老干部活动中心有年度工作计划，工作思路清晰、任务明确、措施可行。（2分）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4.上级主管部门、分管领导经常过问、研究老干部活动中心建设和发展问题，有领导批示或其它相关资料。（4分）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5.贯彻落实老干部工作各项政策扎实，成效明显。(4分)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（二）基础条件（15分）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6.市、县老干部活动中心建筑面积，分别不低于3500平方米、1000平方米，室外活动场地面积，分别不低于3000平方米、 1000平方米。（10分）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7.活动设施设备与所开展的活动项目相配套。(3分) </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8.活动器材能正常使用，日常管理维护到位。（2分）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（三）活动开展（27分）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9.活动项目较为丰富，市、县老干部活动中心分别达到8项、6项。(3分) </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10.室内活动器材齐全完好、摆放整齐，且使用率高，活动秩序良好。（4分）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11.离退休干部活动团体（含挂靠老年团体）建设，市、县老干部活动中心分别达到4个、2个以上（含）。（3分）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12.离退休干部大中型活动（大型活动参与者在200人以上、中型活动参与者100-199人）市、县老干部活动中心每年分别达到2次、1次以上（含），并有书面策划、实施方案，且要达到精彩、有序、安全。（5分）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13.离退休干部活动站建设，市、县老干部活动中心分别达到6个、3个以上（含）。（2分）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14.活动团体活动开展经常化，能积极组织引导老干部活动进广场、进社区、进乡村，每个活动团体每年不少于3次，并有活动资料记录。（3分）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15.标准活动室建设与管理，从器材配置、服务管理、活动组织、环境卫生、活动秩序等方面发挥标杆作用，引导带动活动室建设管理上台阶。（4分）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16.市、县老干部活动中心应主动与同级老年大学相对接和融合，提升活动的层次和水平。（3分）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（四）服务管理（20分）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17.活动项目、活动室日常服务管理规范有效，工作人员做到真诚服务、细致管理。（5分）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18.活动团体、活动站服务管理制度健全，且执行情况良好。（3分）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19.活动团体、活动站内部管理制度健全，活动资料齐全、规范。（3分）。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20.坚持把临时党支部建在活动团队上，市、县老干部活动中心现有活动团体要全部建立临时党支部，并要建立健全各项制度，开展经常性学习、活动。（4分）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21.在服务态度、服务质量、活动管理等方面，经测评离退休干部满意率在80%以上。（5分）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（五）基层业务指导（13分）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22.市、县老干部活动中心年度工作计划中，应对基层业务指导提出明确的任务要求。（3分）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23.市、县老干部活动中心要分别在所属区域培育和树立2个、1个以上基层先进典型，总结经验，发挥典型的示范、辐射、带动作用。（3分）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24.市老干部活动中心每年至少要对基层单位负责人或业务骨干培训1次，县老干部活动中心对县级部门单位活动室人员每年开展业务培训1次，均有相关资料。（3分）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25.市、县老干部活动中心要加强工作和活动情况交流，市对省、县对市每年上报并采用老干部活动工作信息分别不少于4条、2条。（2分）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26.市、县老干部活动中心每年要完成1篇有情况、有对策、有建议的调研报告，并逐级按时上报。（2分）</w:t>
      </w:r>
    </w:p>
    <w:p>
      <w:pPr>
        <w:autoSpaceDE w:val="0"/>
        <w:autoSpaceDN w:val="0"/>
        <w:adjustRightInd w:val="0"/>
        <w:spacing w:line="579" w:lineRule="exact"/>
        <w:ind w:firstLine="640" w:firstLineChars="200"/>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（六）社会影响（10分）</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27.围绕党委政府工作大局，积极组织参加活动的离退休干部及其团体开展多种形式的主题活动。（3分）</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28.参加省、市老年大学、老干部活动中心和当地组织开展的演出、比赛、展览等各类社会活动，社会影响好。（4分）</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29.同级党政领导对老干部活动中心工作肯定。老干部活动中心在本地区示范、指导、辐射作用发挥较好。（3分）</w:t>
      </w:r>
    </w:p>
    <w:p>
      <w:pPr>
        <w:autoSpaceDE w:val="0"/>
        <w:autoSpaceDN w:val="0"/>
        <w:adjustRightInd w:val="0"/>
        <w:spacing w:line="579" w:lineRule="exact"/>
        <w:ind w:firstLine="800" w:firstLineChars="250"/>
        <w:rPr>
          <w:rFonts w:ascii="Times New Roman" w:hAnsi="Times New Roman" w:eastAsia="黑体"/>
          <w:kern w:val="0"/>
          <w:sz w:val="32"/>
          <w:szCs w:val="32"/>
        </w:rPr>
      </w:pPr>
      <w:r>
        <w:rPr>
          <w:rFonts w:ascii="Times New Roman" w:hAnsi="Times New Roman" w:eastAsia="黑体"/>
          <w:kern w:val="0"/>
          <w:sz w:val="32"/>
          <w:szCs w:val="32"/>
        </w:rPr>
        <w:t>二、示范老干部活动室创建标准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（一）组织保障（20分）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30.老干部活动室建设列入本单位年度老干部工作计划，有相关文件资料。（4分）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31.有专门工作机构或专职工作人员负责活动室工作，有经费保障。（3分）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32.单位分管领导经常过问、研究老干部活动工作，每年至少为活动室和离退休人员办一件实事，有书面批示或相关资料等。（5分）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33.贯彻落实老干部工作各项政策扎实，成效明显。（5分）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34.活动室有年度工作计划、活动安排和工作总结，活动资料齐全。（3分）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（二）基本条件（15分）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35.老干部活动室建筑面积，根据本单位离退休人员总人数，每人不低于2平方米的标准，新建、扩建或整合活动室，室外活动场地面积人均不低于3平方米。（10分）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36.活动室设施设备与所开展的活动项目相配套。（3分）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37.活动器材能正常使用，日常管理保养到位。（2分）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（三）活动开展（30分）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38.具备基本的活动项目，省、市、县级部门单位活动室分别达到6项、4项、3项。（6分）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39.室内日常活动正常开展，室内整洁，活动秩序良好。（8分）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40.离退休干部活动团体建设，省、市、县级部门单位分别达到3个、2个、1个以上。（4分）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41.每年组织活动3次以上，有相关图片资料，且活动精彩、有序、安全（12分）。</w:t>
      </w:r>
    </w:p>
    <w:p>
      <w:pPr>
        <w:autoSpaceDE w:val="0"/>
        <w:autoSpaceDN w:val="0"/>
        <w:adjustRightInd w:val="0"/>
        <w:spacing w:line="579"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（四）服务管理（25分）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42.活动项目、活动室服务管理规范有效，制度健全，有章可循。（6分）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43.活动团体内部管理制度健全，且执行情况良好。（5分）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44.活动团体活动规范有序、效果良好，活动资料齐全。（6分）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45.活动团体临时党支部或离退休干部党支部组织健全，学习、活动正常开展，支部建设和思想政治建设有针对性、实效性。（4分）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46.在服务态度、服务质量、管理水平等方面，经测评，离退休干部满意率在80%以上。（4分）</w:t>
      </w:r>
    </w:p>
    <w:p>
      <w:pPr>
        <w:autoSpaceDE w:val="0"/>
        <w:autoSpaceDN w:val="0"/>
        <w:adjustRightInd w:val="0"/>
        <w:spacing w:line="579" w:lineRule="exact"/>
        <w:ind w:firstLine="640" w:firstLineChars="200"/>
        <w:rPr>
          <w:rFonts w:ascii="Times New Roman" w:hAnsi="Times New Roman" w:eastAsia="仿宋_GB2312"/>
          <w:kern w:val="0"/>
          <w:sz w:val="32"/>
          <w:szCs w:val="32"/>
        </w:rPr>
      </w:pPr>
      <w:r>
        <w:rPr>
          <w:rFonts w:ascii="Times New Roman" w:hAnsi="Times New Roman" w:eastAsia="楷体_GB2312"/>
          <w:color w:val="000000"/>
          <w:kern w:val="0"/>
          <w:sz w:val="32"/>
          <w:szCs w:val="32"/>
        </w:rPr>
        <w:t>（五）社会影响（10分）</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rPr>
        <w:t>47</w:t>
      </w:r>
      <w:r>
        <w:rPr>
          <w:rFonts w:ascii="Times New Roman" w:hAnsi="Times New Roman" w:eastAsia="仿宋_GB2312"/>
          <w:kern w:val="0"/>
          <w:sz w:val="32"/>
          <w:szCs w:val="32"/>
          <w:lang w:val="zh-CN"/>
        </w:rPr>
        <w:t>.围绕单位工作大局，积极组织参加活动的离退休干部及其团体开展多种形式的主题活动。（3分）</w:t>
      </w:r>
    </w:p>
    <w:p>
      <w:pPr>
        <w:autoSpaceDE w:val="0"/>
        <w:autoSpaceDN w:val="0"/>
        <w:adjustRightInd w:val="0"/>
        <w:spacing w:line="579" w:lineRule="exact"/>
        <w:ind w:firstLine="640" w:firstLineChars="200"/>
        <w:rPr>
          <w:rFonts w:ascii="Times New Roman" w:hAnsi="Times New Roman" w:eastAsia="仿宋_GB2312"/>
          <w:kern w:val="0"/>
          <w:sz w:val="32"/>
          <w:szCs w:val="32"/>
          <w:lang w:val="zh-CN"/>
        </w:rPr>
      </w:pPr>
      <w:r>
        <w:rPr>
          <w:rFonts w:ascii="Times New Roman" w:hAnsi="Times New Roman" w:eastAsia="仿宋_GB2312"/>
          <w:kern w:val="0"/>
          <w:sz w:val="32"/>
          <w:szCs w:val="32"/>
          <w:lang w:val="zh-CN"/>
        </w:rPr>
        <w:t>48.参加省，市老年大学、老干部活动中心和单位组织开展的演出、比赛、展览等各类社会活动，社会影响好。（4分）</w:t>
      </w:r>
    </w:p>
    <w:p>
      <w:pPr>
        <w:autoSpaceDE w:val="0"/>
        <w:autoSpaceDN w:val="0"/>
        <w:adjustRightInd w:val="0"/>
        <w:spacing w:line="579" w:lineRule="exact"/>
        <w:ind w:firstLine="640" w:firstLineChars="200"/>
      </w:pPr>
      <w:r>
        <w:rPr>
          <w:rFonts w:ascii="Times New Roman" w:hAnsi="Times New Roman" w:eastAsia="仿宋_GB2312"/>
          <w:kern w:val="0"/>
          <w:sz w:val="32"/>
          <w:szCs w:val="32"/>
          <w:lang w:val="zh-CN"/>
        </w:rPr>
        <w:t>49.参加活动的离退休干部及其团体对活动室的满意率达80%以上。同级党政领导对老年大学工作肯定。老干部活动中心在本地区示范、指导、辐射作用发挥较好。（3分）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E678F"/>
    <w:rsid w:val="1BFE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培训中心</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2023-05-17T06:39:00Z</dcterms:created>
  <dc:creator>Administrator</dc:creator>
  <cp:lastModifiedBy>Administrator</cp:lastModifiedBy>
  <dcterms:modified xsi:type="dcterms:W3CDTF">2023-05-17T06:40:54Z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